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w:t>
      </w:r>
    </w:p>
    <w:p>
      <w:pPr>
        <w:pStyle w:val="3Policytitle"/>
        <w:spacing w:after="0"/>
        <w:jc w:val="center"/>
        <w:rPr>
          <w:rFonts w:asciiTheme="minorHAnsi" w:hAnsiTheme="minorHAnsi" w:cstheme="minorHAnsi"/>
          <w:sz w:val="56"/>
          <w:szCs w:val="56"/>
        </w:rPr>
      </w:pPr>
      <w:proofErr w:type="gramStart"/>
      <w:r>
        <w:rPr>
          <w:rFonts w:asciiTheme="minorHAnsi" w:hAnsiTheme="minorHAnsi" w:cstheme="minorHAnsi"/>
          <w:sz w:val="56"/>
          <w:szCs w:val="56"/>
        </w:rPr>
        <w:t>for</w:t>
      </w:r>
      <w:proofErr w:type="gramEnd"/>
      <w:r>
        <w:rPr>
          <w:rFonts w:asciiTheme="minorHAnsi" w:hAnsiTheme="minorHAnsi" w:cstheme="minorHAnsi"/>
          <w:sz w:val="56"/>
          <w:szCs w:val="56"/>
        </w:rPr>
        <w:t xml:space="preserve"> visitors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33833"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34"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35"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36" w:history="1">
        <w:r>
          <w:rPr>
            <w:rStyle w:val="Hyperlink"/>
            <w:rFonts w:asciiTheme="minorHAnsi" w:hAnsiTheme="minorHAnsi" w:cstheme="minorHAnsi"/>
            <w:noProof/>
          </w:rPr>
          <w:t>4. Our lawful basis for using this data</w:t>
        </w:r>
        <w:bookmarkStart w:id="0" w:name="_GoBack"/>
        <w:bookmarkEnd w:id="0"/>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37"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38"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39"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40"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_Toc15633840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41"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_Toc15633841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3842"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_Toc15633842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rPr>
      </w:pPr>
      <w:r>
        <w:rPr>
          <w:rFonts w:asciiTheme="minorHAnsi" w:hAnsiTheme="minorHAnsi" w:cstheme="minorHAnsi"/>
          <w:noProof/>
          <w:szCs w:val="20"/>
        </w:rPr>
        <w:fldChar w:fldCharType="end"/>
      </w:r>
    </w:p>
    <w:p>
      <w:pPr>
        <w:spacing w:after="0"/>
        <w:rPr>
          <w:rFonts w:asciiTheme="minorHAnsi" w:eastAsia="Calibri" w:hAnsiTheme="minorHAnsi" w:cstheme="minorHAnsi"/>
          <w:b/>
          <w:color w:val="FF1F64"/>
          <w:sz w:val="28"/>
          <w:szCs w:val="36"/>
          <w:lang w:val="en-GB"/>
        </w:rPr>
      </w:pPr>
      <w:bookmarkStart w:id="1" w:name="_Toc15633833"/>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1"/>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our trust use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visitors to the school</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633834"/>
      <w:r>
        <w:rPr>
          <w:rFonts w:asciiTheme="minorHAnsi" w:hAnsiTheme="minorHAnsi" w:cstheme="minorHAnsi"/>
        </w:rPr>
        <w:t>2. The personal data we hold</w:t>
      </w:r>
      <w:bookmarkEnd w:id="2"/>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Name</w:t>
      </w:r>
    </w:p>
    <w:p>
      <w:pPr>
        <w:pStyle w:val="4Bulletedcopyblue"/>
        <w:spacing w:after="0"/>
        <w:rPr>
          <w:rFonts w:asciiTheme="minorHAnsi" w:hAnsiTheme="minorHAnsi" w:cstheme="minorHAnsi"/>
        </w:rPr>
      </w:pPr>
      <w:r>
        <w:rPr>
          <w:rFonts w:asciiTheme="minorHAnsi" w:hAnsiTheme="minorHAnsi" w:cstheme="minorHAnsi"/>
        </w:rPr>
        <w:t xml:space="preserve">Contact details </w:t>
      </w:r>
    </w:p>
    <w:p>
      <w:pPr>
        <w:pStyle w:val="4Bulletedcopyblue"/>
        <w:spacing w:after="0"/>
        <w:rPr>
          <w:rFonts w:asciiTheme="minorHAnsi" w:hAnsiTheme="minorHAnsi" w:cstheme="minorHAnsi"/>
        </w:rPr>
      </w:pPr>
      <w:r>
        <w:rPr>
          <w:rFonts w:asciiTheme="minorHAnsi" w:hAnsiTheme="minorHAnsi" w:cstheme="minorHAnsi"/>
        </w:rPr>
        <w:t xml:space="preserve">Information relating to the visit, e.g. company or </w:t>
      </w:r>
      <w:proofErr w:type="spellStart"/>
      <w:r>
        <w:rPr>
          <w:rFonts w:asciiTheme="minorHAnsi" w:hAnsiTheme="minorHAnsi" w:cstheme="minorHAnsi"/>
        </w:rPr>
        <w:t>organisation</w:t>
      </w:r>
      <w:proofErr w:type="spellEnd"/>
      <w:r>
        <w:rPr>
          <w:rFonts w:asciiTheme="minorHAnsi" w:hAnsiTheme="minorHAnsi" w:cstheme="minorHAnsi"/>
        </w:rPr>
        <w:t xml:space="preserve"> name, arrival and departure time, car number plate</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rPr>
      </w:pPr>
      <w:r>
        <w:rPr>
          <w:rFonts w:asciiTheme="minorHAnsi" w:hAnsiTheme="minorHAnsi" w:cstheme="minorHAnsi"/>
        </w:rPr>
        <w:t>Information about any access arrangements that may be required</w:t>
      </w:r>
    </w:p>
    <w:p>
      <w:pPr>
        <w:pStyle w:val="4Bulletedcopyblue"/>
        <w:spacing w:after="0"/>
        <w:rPr>
          <w:rFonts w:asciiTheme="minorHAnsi" w:hAnsiTheme="minorHAnsi" w:cstheme="minorHAnsi"/>
        </w:rPr>
      </w:pPr>
      <w:r>
        <w:rPr>
          <w:rFonts w:asciiTheme="minorHAnsi" w:hAnsiTheme="minorHAnsi" w:cstheme="minorHAnsi"/>
        </w:rPr>
        <w:t>Photographs for identification purposes</w:t>
      </w:r>
    </w:p>
    <w:p>
      <w:pPr>
        <w:pStyle w:val="4Bulletedcopyblue"/>
        <w:spacing w:after="0"/>
        <w:rPr>
          <w:rFonts w:asciiTheme="minorHAnsi" w:hAnsiTheme="minorHAnsi" w:cstheme="minorHAnsi"/>
        </w:rPr>
      </w:pPr>
      <w:r>
        <w:rPr>
          <w:rFonts w:asciiTheme="minorHAnsi" w:hAnsiTheme="minorHAnsi" w:cstheme="minorHAnsi"/>
        </w:rPr>
        <w:t>CCTV images captured in school</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also hold data about you that we have received from other </w:t>
      </w:r>
      <w:proofErr w:type="spellStart"/>
      <w:r>
        <w:rPr>
          <w:rFonts w:asciiTheme="minorHAnsi" w:hAnsiTheme="minorHAnsi" w:cstheme="minorHAnsi"/>
        </w:rPr>
        <w:t>organisations</w:t>
      </w:r>
      <w:proofErr w:type="spellEnd"/>
      <w:r>
        <w:rPr>
          <w:rFonts w:asciiTheme="minorHAnsi" w:hAnsiTheme="minorHAnsi" w:cstheme="minorHAnsi"/>
        </w:rPr>
        <w:t>, including other schools and social services.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633835"/>
      <w:r>
        <w:rPr>
          <w:rFonts w:asciiTheme="minorHAnsi" w:hAnsiTheme="minorHAnsi" w:cstheme="minorHAnsi"/>
        </w:rPr>
        <w:t>3. Why we use this data</w:t>
      </w:r>
      <w:bookmarkEnd w:id="3"/>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numPr>
          <w:ilvl w:val="0"/>
          <w:numId w:val="30"/>
        </w:numPr>
        <w:spacing w:after="0"/>
        <w:rPr>
          <w:rFonts w:asciiTheme="minorHAnsi" w:hAnsiTheme="minorHAnsi" w:cstheme="minorHAnsi"/>
        </w:rPr>
      </w:pPr>
      <w:r>
        <w:rPr>
          <w:rFonts w:asciiTheme="minorHAnsi" w:hAnsiTheme="minorHAnsi" w:cstheme="minorHAnsi"/>
        </w:rPr>
        <w:t>Identify you and keep you safe while on the school site</w:t>
      </w:r>
    </w:p>
    <w:p>
      <w:pPr>
        <w:numPr>
          <w:ilvl w:val="0"/>
          <w:numId w:val="30"/>
        </w:numPr>
        <w:spacing w:after="0"/>
        <w:rPr>
          <w:rFonts w:asciiTheme="minorHAnsi" w:hAnsiTheme="minorHAnsi" w:cstheme="minorHAnsi"/>
        </w:rPr>
      </w:pPr>
      <w:r>
        <w:rPr>
          <w:rFonts w:asciiTheme="minorHAnsi" w:hAnsiTheme="minorHAnsi" w:cstheme="minorHAnsi"/>
        </w:rPr>
        <w:t>Keep pupils and staff safe</w:t>
      </w:r>
    </w:p>
    <w:p>
      <w:pPr>
        <w:numPr>
          <w:ilvl w:val="0"/>
          <w:numId w:val="30"/>
        </w:numPr>
        <w:spacing w:after="0"/>
        <w:rPr>
          <w:rFonts w:asciiTheme="minorHAnsi" w:hAnsiTheme="minorHAnsi" w:cstheme="minorHAnsi"/>
        </w:rPr>
      </w:pPr>
      <w:r>
        <w:rPr>
          <w:rFonts w:asciiTheme="minorHAnsi" w:hAnsiTheme="minorHAnsi" w:cstheme="minorHAnsi"/>
        </w:rPr>
        <w:t>Provide appropriate access arrangements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 w:name="_Toc15633836"/>
      <w:r>
        <w:rPr>
          <w:rFonts w:asciiTheme="minorHAnsi" w:hAnsiTheme="minorHAnsi" w:cstheme="minorHAnsi"/>
        </w:rPr>
        <w:t>4. Our lawful basis for using this data</w:t>
      </w:r>
      <w:bookmarkEnd w:id="4"/>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For the purposes of (</w:t>
      </w:r>
      <w:r>
        <w:rPr>
          <w:rFonts w:asciiTheme="minorHAnsi" w:hAnsiTheme="minorHAnsi" w:cstheme="minorHAnsi"/>
          <w:b/>
          <w:lang w:val="en-GB"/>
        </w:rPr>
        <w:t>a), (b)</w:t>
      </w:r>
      <w:r>
        <w:rPr>
          <w:rFonts w:asciiTheme="minorHAnsi" w:hAnsiTheme="minorHAnsi" w:cstheme="minorHAnsi"/>
          <w:lang w:val="en-GB"/>
        </w:rPr>
        <w:t xml:space="preserve"> and (</w:t>
      </w:r>
      <w:r>
        <w:rPr>
          <w:rFonts w:asciiTheme="minorHAnsi" w:hAnsiTheme="minorHAnsi" w:cstheme="minorHAnsi"/>
          <w:b/>
          <w:lang w:val="en-GB"/>
        </w:rPr>
        <w:t>c)</w:t>
      </w:r>
      <w:r>
        <w:rPr>
          <w:rFonts w:asciiTheme="minorHAnsi" w:hAnsiTheme="minorHAnsi" w:cstheme="minorHAnsi"/>
          <w:lang w:val="en-GB"/>
        </w:rPr>
        <w:t xml:space="preserve"> above, in accordance with the ‘legal obligation’ basis – we need to process data to meet our responsibilities under law as set out here:</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c) - </w:t>
      </w:r>
      <w:r>
        <w:rPr>
          <w:rFonts w:asciiTheme="minorHAnsi" w:hAnsiTheme="minorHAnsi" w:cstheme="minorHAnsi"/>
          <w:i/>
          <w:lang w:val="en-GB"/>
        </w:rPr>
        <w:t>“processing is necessary for compliance with a legal obligation to which the controller is subject.”</w:t>
      </w:r>
    </w:p>
    <w:p>
      <w:pPr>
        <w:pStyle w:val="4Bulletedcopyblue"/>
        <w:numPr>
          <w:ilvl w:val="0"/>
          <w:numId w:val="0"/>
        </w:numPr>
        <w:spacing w:after="0"/>
        <w:rPr>
          <w:rFonts w:asciiTheme="minorHAnsi" w:hAnsiTheme="minorHAnsi" w:cstheme="minorHAnsi"/>
          <w:lang w:val="en-GB"/>
        </w:rPr>
      </w:pPr>
    </w:p>
    <w:p>
      <w:pPr>
        <w:pStyle w:val="4Bulletedcopyblue"/>
        <w:numPr>
          <w:ilvl w:val="0"/>
          <w:numId w:val="0"/>
        </w:numPr>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lastRenderedPageBreak/>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5" w:name="_Toc15633837"/>
      <w:r>
        <w:rPr>
          <w:rFonts w:asciiTheme="minorHAnsi" w:hAnsiTheme="minorHAnsi" w:cstheme="minorHAnsi"/>
        </w:rPr>
        <w:t>5. Collecting this data</w:t>
      </w:r>
      <w:bookmarkEnd w:id="5"/>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6" w:name="_Toc15633838"/>
      <w:r>
        <w:rPr>
          <w:rFonts w:asciiTheme="minorHAnsi" w:hAnsiTheme="minorHAnsi" w:cstheme="minorHAnsi"/>
        </w:rPr>
        <w:t>6. How we store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 are visiting our school. We may also keep it beyond your visit with our school if this is necessary. Our record retention schedule sets out how long we keep information about visitors.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633839"/>
      <w:r>
        <w:rPr>
          <w:rFonts w:asciiTheme="minorHAnsi" w:hAnsiTheme="minorHAnsi" w:cstheme="minorHAnsi"/>
        </w:rPr>
        <w:t>7. Who we share data with</w:t>
      </w:r>
      <w:bookmarkEnd w:id="7"/>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lastRenderedPageBreak/>
        <w:t>Our regulator, OFSTED</w:t>
      </w:r>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8" w:name="_Toc15633840"/>
      <w:r>
        <w:rPr>
          <w:rFonts w:asciiTheme="minorHAnsi" w:hAnsiTheme="minorHAnsi" w:cstheme="minorHAnsi"/>
        </w:rPr>
        <w:t>8. Your rights</w:t>
      </w:r>
      <w:bookmarkEnd w:id="8"/>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9" w:name="_Toc15633841"/>
      <w:r>
        <w:rPr>
          <w:rFonts w:asciiTheme="minorHAnsi" w:hAnsiTheme="minorHAnsi" w:cstheme="minorHAnsi"/>
        </w:rPr>
        <w:t>9. Complaints</w:t>
      </w:r>
      <w:bookmarkEnd w:id="9"/>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lastRenderedPageBreak/>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0" w:name="_Toc15633842"/>
      <w:r>
        <w:rPr>
          <w:rFonts w:asciiTheme="minorHAnsi" w:hAnsiTheme="minorHAnsi" w:cstheme="minorHAnsi"/>
        </w:rPr>
        <w:t>10. Contact us</w:t>
      </w:r>
      <w:bookmarkEnd w:id="10"/>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Miss Maria Neary</w:t>
      </w:r>
    </w:p>
    <w:p>
      <w:pPr>
        <w:pStyle w:val="4Bulletedcopyblue"/>
        <w:numPr>
          <w:ilvl w:val="0"/>
          <w:numId w:val="0"/>
        </w:numPr>
        <w:spacing w:after="0"/>
        <w:ind w:left="880" w:firstLine="56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firstLine="560"/>
        <w:rPr>
          <w:rFonts w:asciiTheme="minorHAnsi" w:hAnsiTheme="minorHAnsi" w:cstheme="minorHAnsi"/>
          <w:lang w:val="en-GB"/>
        </w:rPr>
      </w:pPr>
      <w:r>
        <w:rPr>
          <w:rFonts w:asciiTheme="minorHAnsi" w:hAnsiTheme="minorHAnsi" w:cstheme="minorHAnsi"/>
          <w:lang w:val="en-GB"/>
        </w:rPr>
        <w:t xml:space="preserve">Email:  </w:t>
      </w:r>
      <w:hyperlink r:id="rId9"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firstLine="560"/>
        <w:rPr>
          <w:rFonts w:asciiTheme="minorHAnsi" w:hAnsiTheme="minorHAnsi" w:cstheme="minorHAnsi"/>
          <w:lang w:val="en-GB"/>
        </w:rPr>
      </w:pPr>
      <w:r>
        <w:rPr>
          <w:rFonts w:asciiTheme="minorHAnsi" w:hAnsiTheme="minorHAnsi" w:cstheme="minorHAnsi"/>
          <w:lang w:val="en-GB"/>
        </w:rPr>
        <w:t>Tel:  01204 333 222</w:t>
      </w:r>
    </w:p>
    <w:p>
      <w:pPr>
        <w:pStyle w:val="4Bulletedcopyblue"/>
        <w:numPr>
          <w:ilvl w:val="0"/>
          <w:numId w:val="0"/>
        </w:numPr>
        <w:spacing w:after="0"/>
        <w:ind w:left="88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568" w:right="1077" w:bottom="993" w:left="1077"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1" name="Picture 1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pt;height:30.05pt" o:bullet="t">
        <v:imagedata r:id="rId1" o:title="Tick"/>
      </v:shape>
    </w:pict>
  </w:numPicBullet>
  <w:numPicBullet w:numPicBulletId="1">
    <w:pict>
      <v:shape id="_x0000_i1027" type="#_x0000_t75" style="width:30.05pt;height:30.05pt" o:bullet="t">
        <v:imagedata r:id="rId2" o:title="Cross"/>
      </v:shape>
    </w:pict>
  </w:numPicBullet>
  <w:numPicBullet w:numPicBulletId="2">
    <w:pict>
      <v:shape id="_x0000_i1028" type="#_x0000_t75" style="width:208.95pt;height:332.15pt" o:bullet="t">
        <v:imagedata r:id="rId3" o:title="art1EF6"/>
      </v:shape>
    </w:pict>
  </w:numPicBullet>
  <w:numPicBullet w:numPicBulletId="3">
    <w:pict>
      <v:shape id="_x0000_i1029" type="#_x0000_t75" style="width:208.95pt;height:332.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7"/>
  </w:num>
  <w:num w:numId="2">
    <w:abstractNumId w:val="3"/>
  </w:num>
  <w:num w:numId="3">
    <w:abstractNumId w:val="11"/>
  </w:num>
  <w:num w:numId="4">
    <w:abstractNumId w:val="18"/>
  </w:num>
  <w:num w:numId="5">
    <w:abstractNumId w:val="0"/>
  </w:num>
  <w:num w:numId="6">
    <w:abstractNumId w:val="7"/>
  </w:num>
  <w:num w:numId="7">
    <w:abstractNumId w:val="2"/>
  </w:num>
  <w:num w:numId="8">
    <w:abstractNumId w:val="5"/>
  </w:num>
  <w:num w:numId="9">
    <w:abstractNumId w:val="20"/>
  </w:num>
  <w:num w:numId="10">
    <w:abstractNumId w:val="11"/>
  </w:num>
  <w:num w:numId="11">
    <w:abstractNumId w:val="3"/>
  </w:num>
  <w:num w:numId="12">
    <w:abstractNumId w:val="20"/>
  </w:num>
  <w:num w:numId="13">
    <w:abstractNumId w:val="17"/>
  </w:num>
  <w:num w:numId="14">
    <w:abstractNumId w:val="18"/>
  </w:num>
  <w:num w:numId="15">
    <w:abstractNumId w:val="2"/>
  </w:num>
  <w:num w:numId="16">
    <w:abstractNumId w:val="5"/>
  </w:num>
  <w:num w:numId="17">
    <w:abstractNumId w:val="18"/>
  </w:num>
  <w:num w:numId="18">
    <w:abstractNumId w:val="10"/>
  </w:num>
  <w:num w:numId="19">
    <w:abstractNumId w:val="8"/>
  </w:num>
  <w:num w:numId="20">
    <w:abstractNumId w:val="12"/>
  </w:num>
  <w:num w:numId="21">
    <w:abstractNumId w:val="4"/>
  </w:num>
  <w:num w:numId="22">
    <w:abstractNumId w:val="14"/>
  </w:num>
  <w:num w:numId="23">
    <w:abstractNumId w:val="6"/>
  </w:num>
  <w:num w:numId="24">
    <w:abstractNumId w:val="16"/>
  </w:num>
  <w:num w:numId="25">
    <w:abstractNumId w:val="9"/>
  </w:num>
  <w:num w:numId="26">
    <w:abstractNumId w:val="13"/>
  </w:num>
  <w:num w:numId="27">
    <w:abstractNumId w:val="21"/>
  </w:num>
  <w:num w:numId="28">
    <w:abstractNumId w:val="1"/>
  </w:num>
  <w:num w:numId="29">
    <w:abstractNumId w:val="19"/>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842429-519D-40E7-8A24-5D00110B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F8EA7E0-F230-4A5F-BF76-36520DA9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17</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1769520</vt:i4>
      </vt:variant>
      <vt:variant>
        <vt:i4>59</vt:i4>
      </vt:variant>
      <vt:variant>
        <vt:i4>0</vt:i4>
      </vt:variant>
      <vt:variant>
        <vt:i4>5</vt:i4>
      </vt:variant>
      <vt:variant>
        <vt:lpwstr/>
      </vt:variant>
      <vt:variant>
        <vt:lpwstr>_Toc15633842</vt:lpwstr>
      </vt:variant>
      <vt:variant>
        <vt:i4>1572912</vt:i4>
      </vt:variant>
      <vt:variant>
        <vt:i4>53</vt:i4>
      </vt:variant>
      <vt:variant>
        <vt:i4>0</vt:i4>
      </vt:variant>
      <vt:variant>
        <vt:i4>5</vt:i4>
      </vt:variant>
      <vt:variant>
        <vt:lpwstr/>
      </vt:variant>
      <vt:variant>
        <vt:lpwstr>_Toc15633841</vt:lpwstr>
      </vt:variant>
      <vt:variant>
        <vt:i4>1638448</vt:i4>
      </vt:variant>
      <vt:variant>
        <vt:i4>47</vt:i4>
      </vt:variant>
      <vt:variant>
        <vt:i4>0</vt:i4>
      </vt:variant>
      <vt:variant>
        <vt:i4>5</vt:i4>
      </vt:variant>
      <vt:variant>
        <vt:lpwstr/>
      </vt:variant>
      <vt:variant>
        <vt:lpwstr>_Toc15633840</vt:lpwstr>
      </vt:variant>
      <vt:variant>
        <vt:i4>1048631</vt:i4>
      </vt:variant>
      <vt:variant>
        <vt:i4>41</vt:i4>
      </vt:variant>
      <vt:variant>
        <vt:i4>0</vt:i4>
      </vt:variant>
      <vt:variant>
        <vt:i4>5</vt:i4>
      </vt:variant>
      <vt:variant>
        <vt:lpwstr/>
      </vt:variant>
      <vt:variant>
        <vt:lpwstr>_Toc15633839</vt:lpwstr>
      </vt:variant>
      <vt:variant>
        <vt:i4>1114167</vt:i4>
      </vt:variant>
      <vt:variant>
        <vt:i4>35</vt:i4>
      </vt:variant>
      <vt:variant>
        <vt:i4>0</vt:i4>
      </vt:variant>
      <vt:variant>
        <vt:i4>5</vt:i4>
      </vt:variant>
      <vt:variant>
        <vt:lpwstr/>
      </vt:variant>
      <vt:variant>
        <vt:lpwstr>_Toc15633838</vt:lpwstr>
      </vt:variant>
      <vt:variant>
        <vt:i4>1966135</vt:i4>
      </vt:variant>
      <vt:variant>
        <vt:i4>29</vt:i4>
      </vt:variant>
      <vt:variant>
        <vt:i4>0</vt:i4>
      </vt:variant>
      <vt:variant>
        <vt:i4>5</vt:i4>
      </vt:variant>
      <vt:variant>
        <vt:lpwstr/>
      </vt:variant>
      <vt:variant>
        <vt:lpwstr>_Toc15633837</vt:lpwstr>
      </vt:variant>
      <vt:variant>
        <vt:i4>2031671</vt:i4>
      </vt:variant>
      <vt:variant>
        <vt:i4>23</vt:i4>
      </vt:variant>
      <vt:variant>
        <vt:i4>0</vt:i4>
      </vt:variant>
      <vt:variant>
        <vt:i4>5</vt:i4>
      </vt:variant>
      <vt:variant>
        <vt:lpwstr/>
      </vt:variant>
      <vt:variant>
        <vt:lpwstr>_Toc15633836</vt:lpwstr>
      </vt:variant>
      <vt:variant>
        <vt:i4>1835063</vt:i4>
      </vt:variant>
      <vt:variant>
        <vt:i4>17</vt:i4>
      </vt:variant>
      <vt:variant>
        <vt:i4>0</vt:i4>
      </vt:variant>
      <vt:variant>
        <vt:i4>5</vt:i4>
      </vt:variant>
      <vt:variant>
        <vt:lpwstr/>
      </vt:variant>
      <vt:variant>
        <vt:lpwstr>_Toc15633835</vt:lpwstr>
      </vt:variant>
      <vt:variant>
        <vt:i4>1900599</vt:i4>
      </vt:variant>
      <vt:variant>
        <vt:i4>11</vt:i4>
      </vt:variant>
      <vt:variant>
        <vt:i4>0</vt:i4>
      </vt:variant>
      <vt:variant>
        <vt:i4>5</vt:i4>
      </vt:variant>
      <vt:variant>
        <vt:lpwstr/>
      </vt:variant>
      <vt:variant>
        <vt:lpwstr>_Toc15633834</vt:lpwstr>
      </vt:variant>
      <vt:variant>
        <vt:i4>1703991</vt:i4>
      </vt:variant>
      <vt:variant>
        <vt:i4>5</vt:i4>
      </vt:variant>
      <vt:variant>
        <vt:i4>0</vt:i4>
      </vt:variant>
      <vt:variant>
        <vt:i4>5</vt:i4>
      </vt:variant>
      <vt:variant>
        <vt:lpwstr/>
      </vt:variant>
      <vt:variant>
        <vt:lpwstr>_Toc15633833</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6</cp:revision>
  <cp:lastPrinted>2019-10-18T10:53:00Z</cp:lastPrinted>
  <dcterms:created xsi:type="dcterms:W3CDTF">2019-09-06T10:50:00Z</dcterms:created>
  <dcterms:modified xsi:type="dcterms:W3CDTF">2019-10-18T10:54:00Z</dcterms:modified>
</cp:coreProperties>
</file>